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4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Подписан закон, направленный на повышение безопасности при осуществлении транспортно-экспедиционной деятельности и усиление контроля за перевозкой грузов</w:t>
      </w:r>
    </w:p>
    <w:p w14:paraId="05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Федеральный закон от 07.06.2025 N 140-ФЗ"О внесении изменений в Федеральный закон "О транспортно-экспедиционной деятельности" и отдельные законодательные акты Российской Федерации"</w:t>
      </w:r>
    </w:p>
    <w:p w14:paraId="06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частности, закреплена возможность формирования с 1 сентября 2026 года экспедиторских документов в форме электронного документа. Электронные экспедиторские документы будут подписываться усиленной квалифицированной электронной подписью или усиленной неквалифицированной электронной подписью физического лица в установленном Правительством РФ порядке, с применением прошедших процедуру оценки соответствия средств защиты информации. Электронные экспедиторские документы подлежат направлению в государственную информационную систему электронных перевозочных документов.</w:t>
      </w:r>
    </w:p>
    <w:p w14:paraId="07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обмена электронными экспедиторскими документами, сведениями, содержащимися в них, порядок направления электронных экспедиторских документов и сведений, содержащихся в них, в государственную информационную систему электронных перевозочных документов, а также порядок предъявления электронных экспедиторских документов и сведений, содержащихся в них, устанавливается Правительством РФ.</w:t>
      </w:r>
    </w:p>
    <w:p w14:paraId="08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юридических лицах, индивидуальных предпринимателях, осуществляющих транспортно-экспедиционную деятельность, будут размещаться в реестре уведомлений о транспортно-экспедиционной деятельности. Определены перечень размещаемых в реестре сведений об экспедиторе, порядок их размещения, случаи и основания исключения сведений из реестра.</w:t>
      </w:r>
    </w:p>
    <w:p w14:paraId="09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Реестр ведется в электронной форме на национальной цифровой транспортно-логистической платформе "ГосЛог". Оператором платформы "ГосЛог" является федеральный орган исполнительной власти, осуществляющий функции по выработке государственной политики и нормативно-правовому регулированию в сфере транспорта. Положение о платформе "ГосЛог", определяющее в том числе перечень входящих в ее состав информационных систем, сервисов электронного взаимодействия, состав участников информационного взаимодействия, порядок, сроки и способы обмена информацией между ними, состав сведений, размещаемых на платформе "ГосЛог", утверждаются Правительством РФ. Право на осуществление транспортно-экспедиционной деятельности предоставляется заинтересованным лицам со дня размещения соответствующей записи в указанном реестре.</w:t>
      </w:r>
    </w:p>
    <w:p w14:paraId="0A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Закреплена обязанность экспедитора при оказании экспедиционных услуг, связанных с перевозкой предметов и веществ, изъятых из гражданского оборота или ограниченно оборотоспособных, обеспечить соблюдение требований к их перевозке, установленных законодательством РФ. В случае невозможности обеспечить соблюдение таких требований оказание экспедиционных услуг не допускается.</w:t>
      </w:r>
    </w:p>
    <w:p w14:paraId="0B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числе прочего, на экспедитора возлагается обязанность хранить на территории РФ информацию о заключенных договорах транспортной экспедиции, сторонах этих договоров, лицах, привлекаемых к выполнению этих договоров, свойствах грузов, фактах приема, обработки, погрузки, хранения, разгрузки, передачи, выдачи грузов, маршрутах следования, видах транспорта, осуществляющего их перевозку, иную информацию, размещаемую в информационных системах, используемых при оказании экспедиционных услуг, в течение трех лет со дня окончания исполнения этих договоров, и предоставлять указанную информацию уполномоченным государственным органам, осуществляющим оперативно-разыскную деятельность или обеспечение безопасности РФ в случаях, установленных федеральными законами. Экспедитор обязан передавать уполномоченным государственным органам, осуществляющим оперативно-разыскные мероприятия, по их требованию находящийся у него груз для проверки и (или) изъятия при наличии у них достаточных оснований полагать, что в составе этого груза содержатся предметы и вещества, изъятые из гражданского оборота или ограниченно оборотоспособные, в отношении которых не соблюдены требования к перевозке, установленные законодательством РФ, а также обеспечивать предоставление указанным органам помещений (при наличии) для проведения оперативно-разыскных мероприятий.</w:t>
      </w:r>
    </w:p>
    <w:p w14:paraId="0C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Корреспондирующие изменения внесены в Воздушный кодекс РФ, в Федеральный закон от 10 января 2003 года N 18-ФЗ "Устав железнодорожного транспорта Российской Федерации", в Федеральный закон от 8 ноября 2007 года N 259-ФЗ "Устав автомобильного транспорта и городского наземного электрического транспорта".</w:t>
      </w:r>
    </w:p>
    <w:p w14:paraId="0D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Федеральный закон вступает в силу с 1 сентября 2025 года, за исключением отдельных положений, для которых установлены иные сроки вступления их в силу.</w:t>
      </w:r>
    </w:p>
    <w:p w14:paraId="0E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Лицо, осуществляющее транспортно-экспедиционную деятельность на 1 марта 2026 года, обязано в течение шестидесяти дней уведомить об этом федеральный орган, уполномоченный на ведение реестра уведомлений о транспортно-экспедиционной деятельности.</w:t>
      </w: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1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ext body"/>
    <w:basedOn w:val="Style_1"/>
    <w:link w:val="Style_8_ch"/>
    <w:pPr>
      <w:spacing w:after="140" w:line="276" w:lineRule="auto"/>
      <w:ind/>
    </w:pPr>
    <w:rPr>
      <w:rFonts w:ascii="Liberation Serif" w:hAnsi="Liberation Serif"/>
      <w:sz w:val="24"/>
    </w:rPr>
  </w:style>
  <w:style w:styleId="Style_8_ch" w:type="character">
    <w:name w:val="Text body"/>
    <w:basedOn w:val="Style_1_ch"/>
    <w:link w:val="Style_8"/>
    <w:rPr>
      <w:rFonts w:ascii="Liberation Serif" w:hAnsi="Liberation Serif"/>
      <w:sz w:val="24"/>
    </w:rPr>
  </w:style>
  <w:style w:styleId="Style_9" w:type="paragraph">
    <w:name w:val="Normal (Web)"/>
    <w:basedOn w:val="Style_1"/>
    <w:link w:val="Style_9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9_ch" w:type="character">
    <w:name w:val="Normal (Web)"/>
    <w:basedOn w:val="Style_1_ch"/>
    <w:link w:val="Style_9"/>
    <w:rPr>
      <w:rFonts w:ascii="Times New Roman" w:hAnsi="Times New Roman"/>
      <w:sz w:val="24"/>
    </w:rPr>
  </w:style>
  <w:style w:styleId="Style_10" w:type="paragraph">
    <w:name w:val="Body Text"/>
    <w:basedOn w:val="Style_1"/>
    <w:link w:val="Style_10_ch"/>
    <w:pPr>
      <w:spacing w:after="140" w:line="276" w:lineRule="auto"/>
      <w:ind/>
    </w:pPr>
  </w:style>
  <w:style w:styleId="Style_10_ch" w:type="character">
    <w:name w:val="Body Text"/>
    <w:basedOn w:val="Style_1_ch"/>
    <w:link w:val="Style_10"/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toc 3"/>
    <w:next w:val="Style_1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Strong Emphasis"/>
    <w:link w:val="Style_14_ch"/>
    <w:rPr>
      <w:b w:val="1"/>
    </w:rPr>
  </w:style>
  <w:style w:styleId="Style_14_ch" w:type="character">
    <w:name w:val="Strong Emphasis"/>
    <w:link w:val="Style_14"/>
    <w:rPr>
      <w:b w:val="1"/>
    </w:rPr>
  </w:style>
  <w:style w:styleId="Style_15" w:type="paragraph">
    <w:name w:val="heading 5"/>
    <w:next w:val="Style_1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1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1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header"/>
    <w:basedOn w:val="Style_1"/>
    <w:link w:val="Style_23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3_ch" w:type="character">
    <w:name w:val="header"/>
    <w:basedOn w:val="Style_1_ch"/>
    <w:link w:val="Style_23"/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Strong"/>
    <w:link w:val="Style_26_ch"/>
    <w:rPr>
      <w:b w:val="1"/>
    </w:rPr>
  </w:style>
  <w:style w:styleId="Style_26_ch" w:type="character">
    <w:name w:val="Strong"/>
    <w:link w:val="Style_26"/>
    <w:rPr>
      <w:b w:val="1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2025-06-17T09:36:36Z</dcterms:modified>
</cp:coreProperties>
</file>